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347B4C" w:rsidP="00C12B0D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 xml:space="preserve">Čepice </w:t>
      </w:r>
      <w:r w:rsidR="00514A6B">
        <w:rPr>
          <w:b/>
          <w:bCs/>
          <w:lang w:bidi="cs-CZ"/>
        </w:rPr>
        <w:t>zimní</w:t>
      </w:r>
      <w:r w:rsidR="00C12B0D" w:rsidRPr="00245298">
        <w:rPr>
          <w:b/>
          <w:bCs/>
          <w:lang w:bidi="cs-CZ"/>
        </w:rPr>
        <w:t xml:space="preserve"> </w:t>
      </w:r>
      <w:r w:rsidR="00804701">
        <w:rPr>
          <w:b/>
          <w:bCs/>
          <w:lang w:bidi="cs-CZ"/>
        </w:rPr>
        <w:t>„</w:t>
      </w:r>
      <w:r w:rsidR="00804701">
        <w:rPr>
          <w:lang w:bidi="cs-CZ"/>
        </w:rPr>
        <w:t>unisex“ pokrývka hlavy a je</w:t>
      </w:r>
      <w:r w:rsidR="00C12B0D" w:rsidRPr="00245298">
        <w:rPr>
          <w:lang w:bidi="cs-CZ"/>
        </w:rPr>
        <w:t xml:space="preserve"> oděv</w:t>
      </w:r>
      <w:r w:rsidR="006F5480">
        <w:rPr>
          <w:lang w:bidi="cs-CZ"/>
        </w:rPr>
        <w:t>ní</w:t>
      </w:r>
      <w:r w:rsidR="00804701">
        <w:rPr>
          <w:lang w:bidi="cs-CZ"/>
        </w:rPr>
        <w:t>m doplňkem</w:t>
      </w:r>
      <w:r w:rsidR="006F5480">
        <w:rPr>
          <w:lang w:bidi="cs-CZ"/>
        </w:rPr>
        <w:t xml:space="preserve"> profesních oděvů</w:t>
      </w:r>
      <w:r w:rsidR="00C12B0D" w:rsidRPr="00245298">
        <w:rPr>
          <w:lang w:bidi="cs-CZ"/>
        </w:rPr>
        <w:t xml:space="preserve"> pro Správu železniční dopravní cesty (dále jen SŽDC), je součástí stejnokroje SŽDC.</w:t>
      </w:r>
    </w:p>
    <w:p w:rsidR="00C12B0D" w:rsidRDefault="00C12B0D" w:rsidP="00DE783E">
      <w:pPr>
        <w:spacing w:after="0" w:line="276" w:lineRule="auto"/>
        <w:jc w:val="both"/>
        <w:rPr>
          <w:b/>
          <w:bCs/>
          <w:lang w:bidi="cs-CZ"/>
        </w:rPr>
      </w:pPr>
    </w:p>
    <w:p w:rsidR="00507FF9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347B4C">
      <w:pPr>
        <w:spacing w:after="0" w:line="276" w:lineRule="auto"/>
        <w:jc w:val="both"/>
        <w:rPr>
          <w:b/>
          <w:bCs/>
          <w:lang w:bidi="cs-CZ"/>
        </w:rPr>
      </w:pPr>
    </w:p>
    <w:p w:rsidR="00052968" w:rsidRPr="00052968" w:rsidRDefault="00052968" w:rsidP="00052968">
      <w:pPr>
        <w:spacing w:after="0" w:line="276" w:lineRule="auto"/>
        <w:jc w:val="both"/>
        <w:rPr>
          <w:bCs/>
          <w:lang w:bidi="cs-CZ"/>
        </w:rPr>
      </w:pPr>
      <w:r w:rsidRPr="00052968">
        <w:rPr>
          <w:bCs/>
          <w:lang w:bidi="cs-CZ"/>
        </w:rPr>
        <w:t>Čepice je složená ze šesti dílů, s kšiltem, podšitá podšívkou a s úpletem přes boční a zadní část čepice. Do přední strany kšiltu našitá reflexní paspule.  Na levém předním díle je umístěná výšivka.</w:t>
      </w:r>
    </w:p>
    <w:p w:rsidR="00052968" w:rsidRPr="00052968" w:rsidRDefault="00052968" w:rsidP="00052968">
      <w:pPr>
        <w:spacing w:after="0" w:line="276" w:lineRule="auto"/>
        <w:jc w:val="both"/>
        <w:rPr>
          <w:b/>
          <w:bCs/>
          <w:lang w:bidi="cs-CZ"/>
        </w:rPr>
      </w:pPr>
    </w:p>
    <w:p w:rsidR="00052968" w:rsidRPr="00052968" w:rsidRDefault="00052968" w:rsidP="00052968">
      <w:pPr>
        <w:spacing w:after="0" w:line="276" w:lineRule="auto"/>
        <w:jc w:val="both"/>
        <w:rPr>
          <w:b/>
          <w:bCs/>
          <w:lang w:bidi="cs-CZ"/>
        </w:rPr>
      </w:pPr>
      <w:r w:rsidRPr="00052968">
        <w:rPr>
          <w:b/>
          <w:bCs/>
          <w:lang w:bidi="cs-CZ"/>
        </w:rPr>
        <w:t>Díly:</w:t>
      </w:r>
    </w:p>
    <w:p w:rsidR="00052968" w:rsidRDefault="00052968" w:rsidP="00052968">
      <w:pPr>
        <w:spacing w:after="0" w:line="276" w:lineRule="auto"/>
        <w:jc w:val="both"/>
        <w:rPr>
          <w:bCs/>
          <w:lang w:bidi="cs-CZ"/>
        </w:rPr>
      </w:pPr>
      <w:r w:rsidRPr="00052968">
        <w:rPr>
          <w:bCs/>
          <w:lang w:bidi="cs-CZ"/>
        </w:rPr>
        <w:t xml:space="preserve">Složená ze šesti dílů v horním ukončení je nýt obalený vlastním materiálem. Dolní okraj čepice obnitkovaný a zapravený kloboukovou stuhou. Přední </w:t>
      </w:r>
      <w:r>
        <w:rPr>
          <w:bCs/>
          <w:lang w:bidi="cs-CZ"/>
        </w:rPr>
        <w:t xml:space="preserve">díly podlepené. </w:t>
      </w:r>
      <w:r w:rsidRPr="0064081E">
        <w:rPr>
          <w:bCs/>
          <w:lang w:bidi="cs-CZ"/>
        </w:rPr>
        <w:t xml:space="preserve">V pravém rohu </w:t>
      </w:r>
      <w:r>
        <w:rPr>
          <w:bCs/>
          <w:lang w:bidi="cs-CZ"/>
        </w:rPr>
        <w:t>pravého dílku čepice</w:t>
      </w:r>
      <w:r>
        <w:rPr>
          <w:bCs/>
          <w:lang w:bidi="cs-CZ"/>
        </w:rPr>
        <w:t xml:space="preserve"> (z čelního pohledu)</w:t>
      </w:r>
      <w:r w:rsidRPr="0064081E">
        <w:rPr>
          <w:bCs/>
          <w:lang w:bidi="cs-CZ"/>
        </w:rPr>
        <w:t xml:space="preserve"> je umístěné logo SŽDC oranžové barvy o </w:t>
      </w:r>
      <w:r>
        <w:rPr>
          <w:bCs/>
          <w:lang w:bidi="cs-CZ"/>
        </w:rPr>
        <w:t>výšce</w:t>
      </w:r>
      <w:r w:rsidRPr="0064081E">
        <w:rPr>
          <w:bCs/>
          <w:lang w:bidi="cs-CZ"/>
        </w:rPr>
        <w:t xml:space="preserve"> </w:t>
      </w:r>
      <w:r>
        <w:rPr>
          <w:bCs/>
          <w:lang w:bidi="cs-CZ"/>
        </w:rPr>
        <w:t>23</w:t>
      </w:r>
      <w:r w:rsidRPr="0064081E">
        <w:rPr>
          <w:bCs/>
          <w:lang w:bidi="cs-CZ"/>
        </w:rPr>
        <w:t xml:space="preserve"> mm. </w:t>
      </w:r>
    </w:p>
    <w:p w:rsidR="00052968" w:rsidRPr="00052968" w:rsidRDefault="00052968" w:rsidP="00052968">
      <w:pPr>
        <w:spacing w:after="0" w:line="276" w:lineRule="auto"/>
        <w:jc w:val="both"/>
        <w:rPr>
          <w:bCs/>
          <w:lang w:bidi="cs-CZ"/>
        </w:rPr>
      </w:pPr>
    </w:p>
    <w:p w:rsidR="00052968" w:rsidRPr="00052968" w:rsidRDefault="00052968" w:rsidP="00052968">
      <w:pPr>
        <w:spacing w:after="0" w:line="276" w:lineRule="auto"/>
        <w:jc w:val="both"/>
        <w:rPr>
          <w:b/>
          <w:bCs/>
          <w:lang w:bidi="cs-CZ"/>
        </w:rPr>
      </w:pPr>
      <w:r w:rsidRPr="00052968">
        <w:rPr>
          <w:b/>
          <w:bCs/>
          <w:lang w:bidi="cs-CZ"/>
        </w:rPr>
        <w:t>Kšilt:</w:t>
      </w:r>
    </w:p>
    <w:p w:rsidR="00052968" w:rsidRPr="00052968" w:rsidRDefault="00052968" w:rsidP="00052968">
      <w:pPr>
        <w:spacing w:after="0" w:line="276" w:lineRule="auto"/>
        <w:jc w:val="both"/>
        <w:rPr>
          <w:bCs/>
          <w:lang w:bidi="cs-CZ"/>
        </w:rPr>
      </w:pPr>
      <w:r w:rsidRPr="00052968">
        <w:rPr>
          <w:bCs/>
          <w:lang w:bidi="cs-CZ"/>
        </w:rPr>
        <w:t>Skládá se ze dvou částí. Vrchní materiál podložený pevnou výztuží s vložením reflexní paspule.</w:t>
      </w:r>
    </w:p>
    <w:p w:rsidR="00052968" w:rsidRPr="00052968" w:rsidRDefault="00052968" w:rsidP="00052968">
      <w:pPr>
        <w:spacing w:after="0" w:line="276" w:lineRule="auto"/>
        <w:jc w:val="both"/>
        <w:rPr>
          <w:b/>
          <w:bCs/>
          <w:lang w:bidi="cs-CZ"/>
        </w:rPr>
      </w:pPr>
    </w:p>
    <w:p w:rsidR="00052968" w:rsidRPr="00052968" w:rsidRDefault="00052968" w:rsidP="00052968">
      <w:pPr>
        <w:spacing w:after="0" w:line="276" w:lineRule="auto"/>
        <w:jc w:val="both"/>
        <w:rPr>
          <w:b/>
          <w:bCs/>
          <w:lang w:bidi="cs-CZ"/>
        </w:rPr>
      </w:pPr>
      <w:r w:rsidRPr="00052968">
        <w:rPr>
          <w:b/>
          <w:bCs/>
          <w:lang w:bidi="cs-CZ"/>
        </w:rPr>
        <w:t>Úplet:</w:t>
      </w:r>
    </w:p>
    <w:p w:rsidR="00052968" w:rsidRPr="00052968" w:rsidRDefault="00052968" w:rsidP="00052968">
      <w:pPr>
        <w:spacing w:after="0" w:line="276" w:lineRule="auto"/>
        <w:jc w:val="both"/>
        <w:rPr>
          <w:bCs/>
          <w:lang w:bidi="cs-CZ"/>
        </w:rPr>
      </w:pPr>
      <w:r w:rsidRPr="00052968">
        <w:rPr>
          <w:bCs/>
          <w:lang w:bidi="cs-CZ"/>
        </w:rPr>
        <w:t>Složený v přehybu, našít přes dva boční a dva zadní díly.</w:t>
      </w:r>
    </w:p>
    <w:p w:rsidR="00052968" w:rsidRPr="00052968" w:rsidRDefault="00052968" w:rsidP="00052968">
      <w:pPr>
        <w:spacing w:after="0" w:line="276" w:lineRule="auto"/>
        <w:jc w:val="both"/>
        <w:rPr>
          <w:b/>
          <w:bCs/>
          <w:lang w:bidi="cs-CZ"/>
        </w:rPr>
      </w:pPr>
    </w:p>
    <w:p w:rsidR="00052968" w:rsidRPr="00052968" w:rsidRDefault="00052968" w:rsidP="00052968">
      <w:pPr>
        <w:spacing w:after="0" w:line="276" w:lineRule="auto"/>
        <w:jc w:val="both"/>
        <w:rPr>
          <w:b/>
          <w:bCs/>
          <w:lang w:bidi="cs-CZ"/>
        </w:rPr>
      </w:pPr>
      <w:r w:rsidRPr="00052968">
        <w:rPr>
          <w:b/>
          <w:bCs/>
          <w:lang w:bidi="cs-CZ"/>
        </w:rPr>
        <w:t>Prošití:</w:t>
      </w:r>
    </w:p>
    <w:p w:rsidR="00052968" w:rsidRPr="00052968" w:rsidRDefault="00052968" w:rsidP="00052968">
      <w:pPr>
        <w:spacing w:after="0" w:line="276" w:lineRule="auto"/>
        <w:jc w:val="both"/>
        <w:rPr>
          <w:bCs/>
          <w:lang w:bidi="cs-CZ"/>
        </w:rPr>
      </w:pPr>
      <w:r w:rsidRPr="00052968">
        <w:rPr>
          <w:bCs/>
          <w:lang w:bidi="cs-CZ"/>
        </w:rPr>
        <w:t>Členící švy čepice jsou rozžehlené a prošité v kraji ze dvou stran.</w:t>
      </w:r>
    </w:p>
    <w:p w:rsidR="00514A6B" w:rsidRPr="00514A6B" w:rsidRDefault="00514A6B" w:rsidP="00514A6B">
      <w:pPr>
        <w:spacing w:after="0"/>
        <w:rPr>
          <w:b/>
        </w:rPr>
      </w:pPr>
      <w:bookmarkStart w:id="2" w:name="bookmark3"/>
    </w:p>
    <w:p w:rsidR="00245298" w:rsidRPr="00DB38F0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DB38F0">
        <w:rPr>
          <w:b/>
          <w:bCs/>
          <w:lang w:bidi="cs-CZ"/>
        </w:rPr>
        <w:t>ZPRACOVÁNÍ</w:t>
      </w:r>
      <w:bookmarkEnd w:id="2"/>
    </w:p>
    <w:p w:rsidR="00C57B72" w:rsidRPr="00C57B72" w:rsidRDefault="00C57B72" w:rsidP="00D92E70">
      <w:pPr>
        <w:spacing w:after="0" w:line="276" w:lineRule="auto"/>
        <w:jc w:val="both"/>
        <w:rPr>
          <w:bCs/>
          <w:lang w:bidi="cs-CZ"/>
        </w:rPr>
      </w:pPr>
    </w:p>
    <w:p w:rsidR="00C57B72" w:rsidRPr="00C57B72" w:rsidRDefault="00C57B72" w:rsidP="00D92E70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bCs/>
          <w:lang w:bidi="cs-CZ"/>
        </w:rPr>
      </w:pPr>
      <w:r w:rsidRPr="00C57B72">
        <w:rPr>
          <w:bCs/>
          <w:lang w:bidi="cs-CZ"/>
        </w:rPr>
        <w:t>všechny díly se stříhají po osnově</w:t>
      </w:r>
    </w:p>
    <w:p w:rsidR="00C57B72" w:rsidRPr="00C57B72" w:rsidRDefault="00C57B72" w:rsidP="00D92E70">
      <w:pPr>
        <w:numPr>
          <w:ilvl w:val="0"/>
          <w:numId w:val="13"/>
        </w:numPr>
        <w:spacing w:after="0" w:line="276" w:lineRule="auto"/>
        <w:jc w:val="both"/>
        <w:rPr>
          <w:bCs/>
          <w:lang w:bidi="cs-CZ"/>
        </w:rPr>
      </w:pPr>
      <w:r w:rsidRPr="00C57B72">
        <w:rPr>
          <w:bCs/>
          <w:lang w:bidi="cs-CZ"/>
        </w:rPr>
        <w:t>počet stehů strojového šití a prošití je 4 stehy do 10 mm, stehy musí být kladeny rovnoměrně bez vynechání s rovnoměrným napětím, začátky a konce šití, a více namáhaná místa musí být řádně zapošité proti párání a zajištěné proti vytržení,</w:t>
      </w:r>
    </w:p>
    <w:p w:rsidR="00C57B72" w:rsidRPr="00C57B72" w:rsidRDefault="00C57B72" w:rsidP="00D92E70">
      <w:pPr>
        <w:numPr>
          <w:ilvl w:val="0"/>
          <w:numId w:val="13"/>
        </w:numPr>
        <w:spacing w:after="0" w:line="276" w:lineRule="auto"/>
        <w:jc w:val="both"/>
        <w:rPr>
          <w:bCs/>
          <w:lang w:bidi="cs-CZ"/>
        </w:rPr>
      </w:pPr>
      <w:r w:rsidRPr="00C57B72">
        <w:rPr>
          <w:bCs/>
          <w:lang w:bidi="cs-CZ"/>
        </w:rPr>
        <w:t xml:space="preserve">konce stehů musí být na celém výrobku řádně odstřižené, </w:t>
      </w:r>
    </w:p>
    <w:p w:rsidR="00C57B72" w:rsidRDefault="00C57B72" w:rsidP="00D92E70">
      <w:pPr>
        <w:numPr>
          <w:ilvl w:val="0"/>
          <w:numId w:val="13"/>
        </w:numPr>
        <w:spacing w:after="0" w:line="276" w:lineRule="auto"/>
        <w:jc w:val="both"/>
        <w:rPr>
          <w:bCs/>
          <w:lang w:bidi="cs-CZ"/>
        </w:rPr>
      </w:pPr>
      <w:r w:rsidRPr="00C57B72">
        <w:rPr>
          <w:bCs/>
          <w:lang w:bidi="cs-CZ"/>
        </w:rPr>
        <w:t>hustota stehů obnitkovaných okrajů švových záložek nastavena tak, aby nedocházelo k jejich vytřepení</w:t>
      </w:r>
    </w:p>
    <w:p w:rsidR="00C57B72" w:rsidRPr="00C57B72" w:rsidRDefault="00C57B72" w:rsidP="00D92E70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v</w:t>
      </w:r>
      <w:r w:rsidRPr="00C57B72">
        <w:rPr>
          <w:bCs/>
          <w:lang w:bidi="cs-CZ"/>
        </w:rPr>
        <w:t xml:space="preserve">elikostní etiketa s ošetřujícími symboly je všitá přes </w:t>
      </w:r>
      <w:r>
        <w:rPr>
          <w:bCs/>
          <w:lang w:bidi="cs-CZ"/>
        </w:rPr>
        <w:t>zadní šev pod kloboukovou stuhu</w:t>
      </w:r>
    </w:p>
    <w:p w:rsidR="00C57B72" w:rsidRPr="00C57B72" w:rsidRDefault="00C57B72" w:rsidP="00D92E70">
      <w:pPr>
        <w:spacing w:after="0" w:line="276" w:lineRule="auto"/>
        <w:jc w:val="both"/>
        <w:rPr>
          <w:b/>
          <w:bCs/>
          <w:lang w:bidi="cs-CZ"/>
        </w:rPr>
      </w:pPr>
    </w:p>
    <w:p w:rsidR="00C57B72" w:rsidRPr="00C57B72" w:rsidRDefault="00C57B72" w:rsidP="00C57B72">
      <w:pPr>
        <w:spacing w:after="0" w:line="276" w:lineRule="auto"/>
        <w:rPr>
          <w:bCs/>
          <w:lang w:bidi="cs-CZ"/>
        </w:rPr>
      </w:pPr>
      <w:r w:rsidRPr="00C57B72">
        <w:rPr>
          <w:bCs/>
          <w:lang w:bidi="cs-CZ"/>
        </w:rPr>
        <w:t>Fixace</w:t>
      </w:r>
    </w:p>
    <w:p w:rsidR="00C57B72" w:rsidRPr="00C57B72" w:rsidRDefault="00C57B72" w:rsidP="00C57B72">
      <w:pPr>
        <w:pStyle w:val="Odstavecseseznamem"/>
        <w:numPr>
          <w:ilvl w:val="0"/>
          <w:numId w:val="13"/>
        </w:numPr>
        <w:spacing w:after="0" w:line="276" w:lineRule="auto"/>
        <w:rPr>
          <w:bCs/>
          <w:lang w:bidi="cs-CZ"/>
        </w:rPr>
      </w:pPr>
      <w:proofErr w:type="spellStart"/>
      <w:r w:rsidRPr="00C57B72">
        <w:rPr>
          <w:bCs/>
          <w:lang w:bidi="cs-CZ"/>
        </w:rPr>
        <w:t>termofixační</w:t>
      </w:r>
      <w:proofErr w:type="spellEnd"/>
      <w:r w:rsidRPr="00C57B72">
        <w:rPr>
          <w:bCs/>
          <w:lang w:bidi="cs-CZ"/>
        </w:rPr>
        <w:t xml:space="preserve"> vložka-</w:t>
      </w:r>
      <w:proofErr w:type="spellStart"/>
      <w:r w:rsidRPr="00C57B72">
        <w:rPr>
          <w:bCs/>
          <w:lang w:bidi="cs-CZ"/>
        </w:rPr>
        <w:t>vlizelin</w:t>
      </w:r>
      <w:proofErr w:type="spellEnd"/>
      <w:r w:rsidRPr="00C57B72">
        <w:rPr>
          <w:bCs/>
          <w:lang w:bidi="cs-CZ"/>
        </w:rPr>
        <w:t xml:space="preserve"> – hmotnost 59 g/m</w:t>
      </w:r>
      <w:r w:rsidRPr="00C57B72">
        <w:rPr>
          <w:bCs/>
          <w:vertAlign w:val="superscript"/>
          <w:lang w:bidi="cs-CZ"/>
        </w:rPr>
        <w:t>2</w:t>
      </w:r>
    </w:p>
    <w:p w:rsidR="00C30F8C" w:rsidRDefault="00C30F8C" w:rsidP="00C30F8C">
      <w:pPr>
        <w:spacing w:after="0" w:line="276" w:lineRule="auto"/>
        <w:rPr>
          <w:bCs/>
          <w:lang w:bidi="cs-CZ"/>
        </w:rPr>
      </w:pPr>
    </w:p>
    <w:p w:rsidR="00052968" w:rsidRDefault="00052968" w:rsidP="00C30F8C">
      <w:pPr>
        <w:spacing w:after="0" w:line="276" w:lineRule="auto"/>
        <w:rPr>
          <w:bCs/>
          <w:lang w:bidi="cs-CZ"/>
        </w:rPr>
      </w:pPr>
    </w:p>
    <w:p w:rsidR="00052968" w:rsidRDefault="00052968" w:rsidP="00C30F8C">
      <w:pPr>
        <w:spacing w:after="0" w:line="276" w:lineRule="auto"/>
        <w:rPr>
          <w:bCs/>
          <w:lang w:bidi="cs-CZ"/>
        </w:rPr>
      </w:pPr>
    </w:p>
    <w:p w:rsidR="00052968" w:rsidRDefault="00052968" w:rsidP="00C30F8C">
      <w:pPr>
        <w:spacing w:after="0" w:line="276" w:lineRule="auto"/>
        <w:rPr>
          <w:bCs/>
          <w:lang w:bidi="cs-CZ"/>
        </w:rPr>
      </w:pPr>
    </w:p>
    <w:p w:rsidR="00052968" w:rsidRDefault="00052968" w:rsidP="00C30F8C">
      <w:pPr>
        <w:spacing w:after="0" w:line="276" w:lineRule="auto"/>
        <w:rPr>
          <w:bCs/>
          <w:lang w:bidi="cs-CZ"/>
        </w:rPr>
      </w:pPr>
    </w:p>
    <w:p w:rsidR="00052968" w:rsidRDefault="00052968" w:rsidP="00C30F8C">
      <w:pPr>
        <w:spacing w:after="0" w:line="276" w:lineRule="auto"/>
        <w:rPr>
          <w:bCs/>
          <w:lang w:bidi="cs-CZ"/>
        </w:rPr>
      </w:pPr>
    </w:p>
    <w:p w:rsidR="00052968" w:rsidRDefault="00052968" w:rsidP="00C30F8C">
      <w:pPr>
        <w:spacing w:after="0" w:line="276" w:lineRule="auto"/>
        <w:rPr>
          <w:bCs/>
          <w:lang w:bidi="cs-CZ"/>
        </w:rPr>
      </w:pPr>
    </w:p>
    <w:p w:rsidR="00052968" w:rsidRDefault="00052968" w:rsidP="00C30F8C">
      <w:pPr>
        <w:spacing w:after="0" w:line="276" w:lineRule="auto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lastRenderedPageBreak/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962787">
        <w:trPr>
          <w:trHeight w:val="449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Default="006F5480" w:rsidP="002125AB">
            <w:pPr>
              <w:spacing w:after="0"/>
              <w:rPr>
                <w:b/>
                <w:bCs/>
                <w:lang w:bidi="cs-CZ"/>
              </w:rPr>
            </w:pPr>
            <w:r>
              <w:rPr>
                <w:b/>
                <w:bCs/>
                <w:lang w:bidi="cs-CZ"/>
              </w:rPr>
              <w:t>základní</w:t>
            </w:r>
            <w:r w:rsidR="00245298" w:rsidRPr="00245298">
              <w:rPr>
                <w:b/>
                <w:bCs/>
                <w:lang w:bidi="cs-CZ"/>
              </w:rPr>
              <w:t xml:space="preserve"> materiál</w:t>
            </w:r>
          </w:p>
          <w:p w:rsidR="008E3E3C" w:rsidRPr="008E3E3C" w:rsidRDefault="008E3E3C" w:rsidP="008E3E3C">
            <w:pPr>
              <w:spacing w:after="0" w:line="276" w:lineRule="auto"/>
              <w:jc w:val="both"/>
              <w:rPr>
                <w:bCs/>
                <w:lang w:bidi="cs-CZ"/>
              </w:rPr>
            </w:pPr>
            <w:r w:rsidRPr="008E3E3C">
              <w:rPr>
                <w:bCs/>
                <w:lang w:bidi="cs-CZ"/>
              </w:rPr>
              <w:t>barva</w:t>
            </w:r>
            <w:r w:rsidR="000908E0">
              <w:rPr>
                <w:bCs/>
                <w:lang w:bidi="cs-CZ"/>
              </w:rPr>
              <w:t>:</w:t>
            </w:r>
            <w:r w:rsidRPr="008E3E3C">
              <w:rPr>
                <w:bCs/>
                <w:lang w:bidi="cs-CZ"/>
              </w:rPr>
              <w:t xml:space="preserve"> tmavě modrá podle trichromatických souřadnic spektrofotometricky</w:t>
            </w:r>
          </w:p>
          <w:p w:rsidR="008E3E3C" w:rsidRPr="008E3E3C" w:rsidRDefault="008E3E3C" w:rsidP="008E3E3C">
            <w:pPr>
              <w:spacing w:after="0" w:line="276" w:lineRule="auto"/>
              <w:jc w:val="both"/>
              <w:rPr>
                <w:bCs/>
                <w:lang w:bidi="cs-CZ"/>
              </w:rPr>
            </w:pPr>
            <w:r w:rsidRPr="008E3E3C">
              <w:rPr>
                <w:bCs/>
                <w:lang w:bidi="cs-CZ"/>
              </w:rPr>
              <w:t>Povolená tolerance - stupeň 4 šedé stupnice</w:t>
            </w:r>
          </w:p>
          <w:p w:rsidR="006F5480" w:rsidRPr="00245298" w:rsidRDefault="008E3E3C" w:rsidP="008E3E3C">
            <w:pPr>
              <w:spacing w:after="0" w:line="276" w:lineRule="auto"/>
              <w:jc w:val="both"/>
              <w:rPr>
                <w:lang w:bidi="cs-CZ"/>
              </w:rPr>
            </w:pPr>
            <w:r w:rsidRPr="008E3E3C">
              <w:rPr>
                <w:bCs/>
                <w:lang w:bidi="cs-CZ"/>
              </w:rPr>
              <w:t>vazba plátnová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 xml:space="preserve">64% </w:t>
            </w:r>
            <w:proofErr w:type="spellStart"/>
            <w:r w:rsidRPr="00C57B72">
              <w:rPr>
                <w:lang w:val="en-US" w:bidi="cs-CZ"/>
              </w:rPr>
              <w:t>bavlna</w:t>
            </w:r>
            <w:proofErr w:type="spellEnd"/>
          </w:p>
          <w:p w:rsidR="00245298" w:rsidRPr="00245298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val="en-US" w:bidi="cs-CZ"/>
              </w:rPr>
              <w:t xml:space="preserve">36% </w:t>
            </w:r>
            <w:proofErr w:type="spellStart"/>
            <w:r w:rsidRPr="00C57B72">
              <w:rPr>
                <w:lang w:val="en-US" w:bidi="cs-CZ"/>
              </w:rPr>
              <w:t>polyamid</w:t>
            </w:r>
            <w:proofErr w:type="spellEnd"/>
          </w:p>
        </w:tc>
      </w:tr>
      <w:tr w:rsidR="007F5C26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F5C26" w:rsidRPr="00245298" w:rsidRDefault="007F5C26" w:rsidP="007F5C26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paspulka</w:t>
            </w:r>
          </w:p>
          <w:p w:rsidR="007F5C26" w:rsidRPr="00245298" w:rsidRDefault="007F5C26" w:rsidP="007F5C26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modrá stuha v barvě PANTONE 296C </w:t>
            </w:r>
          </w:p>
          <w:p w:rsidR="007F5C26" w:rsidRDefault="007F5C26" w:rsidP="007F5C26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s přerušovaným reflexním potiskem</w:t>
            </w:r>
          </w:p>
          <w:p w:rsidR="007F5C26" w:rsidRPr="00245298" w:rsidRDefault="007F5C26" w:rsidP="007F5C26">
            <w:pPr>
              <w:spacing w:after="0"/>
              <w:rPr>
                <w:lang w:bidi="cs-CZ"/>
              </w:rPr>
            </w:pPr>
            <w:r>
              <w:object w:dxaOrig="1440" w:dyaOrig="780" w14:anchorId="66778D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36pt" o:ole="">
                  <v:imagedata r:id="rId8" o:title=""/>
                </v:shape>
                <o:OLEObject Type="Embed" ProgID="PBrush" ShapeID="_x0000_i1025" DrawAspect="Content" ObjectID="_1625396012" r:id="rId9"/>
              </w:objec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F5C26" w:rsidRPr="00245298" w:rsidRDefault="007F5C26" w:rsidP="007F5C26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C57B7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C57B72" w:rsidRDefault="00C57B72" w:rsidP="007F5C26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Úplet</w:t>
            </w:r>
          </w:p>
          <w:p w:rsidR="00A478E3" w:rsidRPr="00A478E3" w:rsidRDefault="00A478E3" w:rsidP="007F5C26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b</w:t>
            </w:r>
            <w:r w:rsidRPr="00A478E3">
              <w:rPr>
                <w:lang w:bidi="cs-CZ"/>
              </w:rPr>
              <w:t xml:space="preserve">arva šedo-modrá </w:t>
            </w:r>
            <w:proofErr w:type="spellStart"/>
            <w:r w:rsidRPr="00A478E3">
              <w:rPr>
                <w:lang w:bidi="cs-CZ"/>
              </w:rPr>
              <w:t>melange</w:t>
            </w:r>
            <w:proofErr w:type="spellEnd"/>
            <w:r w:rsidRPr="00A478E3">
              <w:rPr>
                <w:lang w:bidi="cs-CZ"/>
              </w:rPr>
              <w:t xml:space="preserve"> ladící k vrchovému materiálu</w:t>
            </w:r>
          </w:p>
          <w:p w:rsidR="00C57B72" w:rsidRPr="00245298" w:rsidRDefault="00A478E3" w:rsidP="007F5C26">
            <w:pPr>
              <w:spacing w:after="0"/>
              <w:rPr>
                <w:b/>
                <w:lang w:bidi="cs-CZ"/>
              </w:rPr>
            </w:pPr>
            <w:r w:rsidRPr="00A478E3">
              <w:rPr>
                <w:lang w:bidi="cs-CZ"/>
              </w:rPr>
              <w:t>Oboulícní žebro 1:1, pevný úplet vyšší gramáže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C57B72" w:rsidRPr="00245298" w:rsidRDefault="00A478E3" w:rsidP="007F5C26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vlna/akryl/</w:t>
            </w:r>
            <w:proofErr w:type="spellStart"/>
            <w:r>
              <w:rPr>
                <w:lang w:bidi="cs-CZ"/>
              </w:rPr>
              <w:t>elastan</w:t>
            </w:r>
            <w:proofErr w:type="spellEnd"/>
          </w:p>
        </w:tc>
      </w:tr>
      <w:tr w:rsidR="00A478E3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A478E3" w:rsidRDefault="00A478E3" w:rsidP="007F5C26">
            <w:pPr>
              <w:spacing w:after="0"/>
              <w:rPr>
                <w:b/>
                <w:lang w:bidi="cs-CZ"/>
              </w:rPr>
            </w:pPr>
            <w:proofErr w:type="spellStart"/>
            <w:r>
              <w:rPr>
                <w:b/>
                <w:lang w:bidi="cs-CZ"/>
              </w:rPr>
              <w:t>Termofixační</w:t>
            </w:r>
            <w:proofErr w:type="spellEnd"/>
            <w:r>
              <w:rPr>
                <w:b/>
                <w:lang w:bidi="cs-CZ"/>
              </w:rPr>
              <w:t xml:space="preserve"> vložka – </w:t>
            </w:r>
            <w:proofErr w:type="spellStart"/>
            <w:r>
              <w:rPr>
                <w:b/>
                <w:lang w:bidi="cs-CZ"/>
              </w:rPr>
              <w:t>vlizelin</w:t>
            </w:r>
            <w:proofErr w:type="spellEnd"/>
            <w:r>
              <w:rPr>
                <w:b/>
                <w:lang w:bidi="cs-CZ"/>
              </w:rPr>
              <w:t xml:space="preserve">, </w:t>
            </w:r>
            <w:r w:rsidR="00C57B72" w:rsidRPr="00A478E3">
              <w:rPr>
                <w:b/>
                <w:bCs/>
                <w:lang w:bidi="cs-CZ"/>
              </w:rPr>
              <w:t>59 g/m</w:t>
            </w:r>
            <w:r w:rsidR="00C57B72" w:rsidRPr="00A478E3">
              <w:rPr>
                <w:b/>
                <w:bCs/>
                <w:vertAlign w:val="superscript"/>
                <w:lang w:bidi="cs-CZ"/>
              </w:rPr>
              <w:t>2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A478E3" w:rsidRPr="00245298" w:rsidRDefault="00A478E3" w:rsidP="007F5C26">
            <w:pPr>
              <w:spacing w:after="0"/>
              <w:rPr>
                <w:lang w:bidi="cs-CZ"/>
              </w:rPr>
            </w:pPr>
          </w:p>
        </w:tc>
      </w:tr>
      <w:tr w:rsidR="00A478E3" w:rsidRPr="00245298" w:rsidTr="00052968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78E3" w:rsidRDefault="00A478E3" w:rsidP="007F5C26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Rypsová strečová stuha</w:t>
            </w:r>
          </w:p>
          <w:p w:rsidR="00A478E3" w:rsidRPr="00A478E3" w:rsidRDefault="00A478E3" w:rsidP="007F5C26">
            <w:pPr>
              <w:spacing w:after="0"/>
              <w:rPr>
                <w:lang w:bidi="cs-CZ"/>
              </w:rPr>
            </w:pPr>
            <w:r w:rsidRPr="00A478E3">
              <w:rPr>
                <w:lang w:bidi="cs-CZ"/>
              </w:rPr>
              <w:t>barva</w:t>
            </w:r>
            <w:r>
              <w:rPr>
                <w:lang w:bidi="cs-CZ"/>
              </w:rPr>
              <w:t>:</w:t>
            </w:r>
            <w:r w:rsidRPr="00A478E3">
              <w:rPr>
                <w:lang w:bidi="cs-CZ"/>
              </w:rPr>
              <w:t xml:space="preserve"> černá</w:t>
            </w:r>
          </w:p>
        </w:tc>
        <w:tc>
          <w:tcPr>
            <w:tcW w:w="41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78E3" w:rsidRPr="00245298" w:rsidRDefault="00A478E3" w:rsidP="007F5C26">
            <w:pPr>
              <w:spacing w:after="0"/>
              <w:rPr>
                <w:lang w:bidi="cs-CZ"/>
              </w:rPr>
            </w:pPr>
          </w:p>
        </w:tc>
      </w:tr>
      <w:tr w:rsidR="007F5C26" w:rsidRPr="00245298" w:rsidTr="00052968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5C26" w:rsidRDefault="007F5C26" w:rsidP="007F5C26">
            <w:pPr>
              <w:spacing w:after="0"/>
              <w:rPr>
                <w:b/>
                <w:bCs/>
                <w:lang w:bidi="cs-CZ"/>
              </w:rPr>
            </w:pPr>
            <w:r>
              <w:rPr>
                <w:b/>
                <w:bCs/>
                <w:lang w:bidi="cs-CZ"/>
              </w:rPr>
              <w:t>Podšívka</w:t>
            </w:r>
          </w:p>
          <w:p w:rsidR="007F5C26" w:rsidRPr="007F5C26" w:rsidRDefault="00A478E3" w:rsidP="007F5C26">
            <w:pPr>
              <w:spacing w:after="0"/>
              <w:rPr>
                <w:bCs/>
                <w:lang w:bidi="cs-CZ"/>
              </w:rPr>
            </w:pPr>
            <w:r>
              <w:rPr>
                <w:bCs/>
                <w:lang w:bidi="cs-CZ"/>
              </w:rPr>
              <w:t>b</w:t>
            </w:r>
            <w:r w:rsidR="007F5C26" w:rsidRPr="007F5C26">
              <w:rPr>
                <w:bCs/>
                <w:lang w:bidi="cs-CZ"/>
              </w:rPr>
              <w:t>arva: černá</w:t>
            </w:r>
          </w:p>
        </w:tc>
        <w:tc>
          <w:tcPr>
            <w:tcW w:w="41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5C26" w:rsidRPr="007F5C26" w:rsidRDefault="007F5C26" w:rsidP="007F5C26">
            <w:pPr>
              <w:spacing w:after="0"/>
              <w:rPr>
                <w:lang w:val="en-US" w:bidi="cs-CZ"/>
              </w:rPr>
            </w:pPr>
            <w:r>
              <w:rPr>
                <w:lang w:val="en-US" w:bidi="cs-CZ"/>
              </w:rPr>
              <w:t>100% polyester</w:t>
            </w:r>
          </w:p>
        </w:tc>
      </w:tr>
    </w:tbl>
    <w:p w:rsidR="000435FC" w:rsidRDefault="000435FC" w:rsidP="000435FC">
      <w:pPr>
        <w:spacing w:after="0"/>
        <w:rPr>
          <w:lang w:bidi="cs-CZ"/>
        </w:rPr>
      </w:pPr>
    </w:p>
    <w:p w:rsidR="002125AB" w:rsidRDefault="002125AB" w:rsidP="00A82C06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materiálu a odpovídající zku</w:t>
      </w:r>
      <w:r>
        <w:rPr>
          <w:lang w:bidi="cs-CZ"/>
        </w:rPr>
        <w:t xml:space="preserve">šební metody jsou uvedeny </w:t>
      </w:r>
      <w:r w:rsidR="006F5480">
        <w:rPr>
          <w:lang w:bidi="cs-CZ"/>
        </w:rPr>
        <w:br/>
      </w:r>
      <w:r>
        <w:rPr>
          <w:lang w:bidi="cs-CZ"/>
        </w:rPr>
        <w:t>v tabul</w:t>
      </w:r>
      <w:r w:rsidR="000435FC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A82C06">
      <w:pPr>
        <w:spacing w:after="0"/>
        <w:rPr>
          <w:lang w:bidi="cs-CZ"/>
        </w:rPr>
      </w:pPr>
    </w:p>
    <w:p w:rsidR="002125AB" w:rsidRDefault="007A150B" w:rsidP="00A82C06">
      <w:pPr>
        <w:spacing w:after="0"/>
        <w:rPr>
          <w:b/>
          <w:lang w:bidi="cs-CZ"/>
        </w:rPr>
      </w:pPr>
      <w:r>
        <w:rPr>
          <w:b/>
          <w:lang w:bidi="cs-CZ"/>
        </w:rPr>
        <w:t>Základní</w:t>
      </w:r>
      <w:r w:rsidR="002125AB" w:rsidRPr="008C2C34">
        <w:rPr>
          <w:b/>
          <w:lang w:bidi="cs-CZ"/>
        </w:rPr>
        <w:t xml:space="preserve"> materiál:</w:t>
      </w:r>
    </w:p>
    <w:p w:rsidR="008E3E3C" w:rsidRDefault="008E3E3C" w:rsidP="00A82C06">
      <w:pPr>
        <w:spacing w:after="0"/>
        <w:rPr>
          <w:b/>
          <w:lang w:bidi="cs-CZ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3000"/>
        <w:gridCol w:w="2961"/>
      </w:tblGrid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b/>
                <w:lang w:val="en-US" w:bidi="cs-CZ"/>
              </w:rPr>
            </w:pPr>
            <w:proofErr w:type="spellStart"/>
            <w:r w:rsidRPr="00C57B72">
              <w:rPr>
                <w:b/>
                <w:lang w:val="en-US" w:bidi="cs-CZ"/>
              </w:rPr>
              <w:t>Parametr</w:t>
            </w:r>
            <w:proofErr w:type="spellEnd"/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b/>
                <w:lang w:val="en-US" w:bidi="cs-CZ"/>
              </w:rPr>
            </w:pPr>
            <w:proofErr w:type="spellStart"/>
            <w:r w:rsidRPr="00C57B72">
              <w:rPr>
                <w:b/>
                <w:lang w:val="en-US" w:bidi="cs-CZ"/>
              </w:rPr>
              <w:t>Zkušební</w:t>
            </w:r>
            <w:proofErr w:type="spellEnd"/>
            <w:r w:rsidRPr="00C57B72">
              <w:rPr>
                <w:b/>
                <w:lang w:val="en-US" w:bidi="cs-CZ"/>
              </w:rPr>
              <w:t xml:space="preserve"> </w:t>
            </w:r>
            <w:proofErr w:type="spellStart"/>
            <w:r w:rsidRPr="00C57B72">
              <w:rPr>
                <w:b/>
                <w:lang w:val="en-US" w:bidi="cs-CZ"/>
              </w:rPr>
              <w:t>metoda</w:t>
            </w:r>
            <w:proofErr w:type="spellEnd"/>
            <w:r w:rsidRPr="00C57B72">
              <w:rPr>
                <w:b/>
                <w:lang w:val="en-US" w:bidi="cs-CZ"/>
              </w:rPr>
              <w:t xml:space="preserve">, </w:t>
            </w:r>
            <w:proofErr w:type="spellStart"/>
            <w:r w:rsidRPr="00C57B72">
              <w:rPr>
                <w:b/>
                <w:lang w:val="en-US" w:bidi="cs-CZ"/>
              </w:rPr>
              <w:t>norma</w:t>
            </w:r>
            <w:proofErr w:type="spellEnd"/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b/>
                <w:lang w:val="en-US" w:bidi="cs-CZ"/>
              </w:rPr>
            </w:pPr>
            <w:proofErr w:type="spellStart"/>
            <w:r w:rsidRPr="00C57B72">
              <w:rPr>
                <w:b/>
                <w:lang w:val="en-US" w:bidi="cs-CZ"/>
              </w:rPr>
              <w:t>Hodnota</w:t>
            </w:r>
            <w:proofErr w:type="spellEnd"/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proofErr w:type="spellStart"/>
            <w:r w:rsidRPr="00C57B72">
              <w:rPr>
                <w:lang w:val="en-US" w:bidi="cs-CZ"/>
              </w:rPr>
              <w:t>Vazba</w:t>
            </w:r>
            <w:proofErr w:type="spellEnd"/>
            <w:r w:rsidRPr="00C57B72">
              <w:rPr>
                <w:lang w:val="en-US" w:bidi="cs-CZ"/>
              </w:rPr>
              <w:t xml:space="preserve"> 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C57B72">
              <w:rPr>
                <w:lang w:val="en-US" w:bidi="cs-CZ"/>
              </w:rPr>
              <w:t>plátnová</w:t>
            </w:r>
            <w:proofErr w:type="spellEnd"/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proofErr w:type="spellStart"/>
            <w:r w:rsidRPr="00C57B72">
              <w:rPr>
                <w:lang w:val="en-US" w:bidi="cs-CZ"/>
              </w:rPr>
              <w:t>Materiálové</w:t>
            </w:r>
            <w:proofErr w:type="spellEnd"/>
            <w:r w:rsidRPr="00C57B72">
              <w:rPr>
                <w:lang w:val="en-US" w:bidi="cs-CZ"/>
              </w:rPr>
              <w:t xml:space="preserve"> </w:t>
            </w:r>
            <w:proofErr w:type="spellStart"/>
            <w:r w:rsidRPr="00C57B72">
              <w:rPr>
                <w:lang w:val="en-US" w:bidi="cs-CZ"/>
              </w:rPr>
              <w:t>složení</w:t>
            </w:r>
            <w:proofErr w:type="spellEnd"/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 xml:space="preserve">64% </w:t>
            </w:r>
            <w:proofErr w:type="spellStart"/>
            <w:r w:rsidRPr="00C57B72">
              <w:rPr>
                <w:lang w:val="en-US" w:bidi="cs-CZ"/>
              </w:rPr>
              <w:t>bavlna</w:t>
            </w:r>
            <w:proofErr w:type="spellEnd"/>
          </w:p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 xml:space="preserve">36% </w:t>
            </w:r>
            <w:proofErr w:type="spellStart"/>
            <w:r w:rsidRPr="00C57B72">
              <w:rPr>
                <w:lang w:val="en-US" w:bidi="cs-CZ"/>
              </w:rPr>
              <w:t>polyamid</w:t>
            </w:r>
            <w:proofErr w:type="spellEnd"/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proofErr w:type="spellStart"/>
            <w:r>
              <w:rPr>
                <w:lang w:val="en-US" w:bidi="cs-CZ"/>
              </w:rPr>
              <w:t>Úprava</w:t>
            </w:r>
            <w:proofErr w:type="spellEnd"/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>
              <w:rPr>
                <w:lang w:val="en-US" w:bidi="cs-CZ"/>
              </w:rPr>
              <w:t>vodoodpudivá</w:t>
            </w:r>
            <w:proofErr w:type="spellEnd"/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cs" w:bidi="cs-CZ"/>
              </w:rPr>
            </w:pPr>
            <w:r w:rsidRPr="00C57B72">
              <w:rPr>
                <w:lang w:val="cs" w:bidi="cs-CZ"/>
              </w:rPr>
              <w:t xml:space="preserve">Barva dle trichromatických souřadnic </w:t>
            </w:r>
            <w:proofErr w:type="spellStart"/>
            <w:r w:rsidRPr="00C57B72">
              <w:rPr>
                <w:lang w:val="cs" w:bidi="cs-CZ"/>
              </w:rPr>
              <w:t>CieLab</w:t>
            </w:r>
            <w:proofErr w:type="spellEnd"/>
          </w:p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r w:rsidRPr="00C57B72">
              <w:rPr>
                <w:lang w:val="cs" w:bidi="cs-CZ"/>
              </w:rPr>
              <w:t>Barva: červená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cs" w:bidi="cs-CZ"/>
              </w:rPr>
            </w:pPr>
            <w:r w:rsidRPr="00C57B72">
              <w:rPr>
                <w:lang w:val="cs" w:bidi="cs-CZ"/>
              </w:rPr>
              <w:t xml:space="preserve">ČSN EN ISO </w:t>
            </w:r>
            <w:proofErr w:type="gramStart"/>
            <w:r w:rsidRPr="00C57B72">
              <w:rPr>
                <w:lang w:val="cs" w:bidi="cs-CZ"/>
              </w:rPr>
              <w:t>105-J01</w:t>
            </w:r>
            <w:proofErr w:type="gramEnd"/>
          </w:p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r w:rsidRPr="00C57B72">
              <w:rPr>
                <w:lang w:val="cs" w:bidi="cs-CZ"/>
              </w:rPr>
              <w:t xml:space="preserve">ČSN EN </w:t>
            </w:r>
            <w:proofErr w:type="gramStart"/>
            <w:r w:rsidRPr="00C57B72">
              <w:rPr>
                <w:lang w:val="cs" w:bidi="cs-CZ"/>
              </w:rPr>
              <w:t>20105-A02</w:t>
            </w:r>
            <w:proofErr w:type="gramEnd"/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val="cs" w:bidi="cs-CZ"/>
              </w:rPr>
            </w:pPr>
            <w:r w:rsidRPr="00C57B72">
              <w:rPr>
                <w:lang w:val="cs" w:bidi="cs-CZ"/>
              </w:rPr>
              <w:t>L= 18,69</w:t>
            </w:r>
          </w:p>
          <w:p w:rsidR="00C57B72" w:rsidRPr="00C57B72" w:rsidRDefault="00C57B72" w:rsidP="00C57B72">
            <w:pPr>
              <w:spacing w:after="0"/>
              <w:jc w:val="center"/>
              <w:rPr>
                <w:lang w:val="cs" w:bidi="cs-CZ"/>
              </w:rPr>
            </w:pPr>
            <w:r w:rsidRPr="00C57B72">
              <w:rPr>
                <w:lang w:val="cs" w:bidi="cs-CZ"/>
              </w:rPr>
              <w:t>a= -0,41</w:t>
            </w:r>
          </w:p>
          <w:p w:rsidR="00C57B72" w:rsidRPr="00C57B72" w:rsidRDefault="00C57B72" w:rsidP="00C57B72">
            <w:pPr>
              <w:spacing w:after="0"/>
              <w:jc w:val="center"/>
              <w:rPr>
                <w:lang w:val="cs" w:bidi="cs-CZ"/>
              </w:rPr>
            </w:pPr>
            <w:r w:rsidRPr="00C57B72">
              <w:rPr>
                <w:lang w:val="cs" w:bidi="cs-CZ"/>
              </w:rPr>
              <w:t>b= -3,45</w:t>
            </w:r>
          </w:p>
          <w:p w:rsidR="00C57B72" w:rsidRPr="00C57B72" w:rsidRDefault="00C57B72" w:rsidP="00C57B72">
            <w:pPr>
              <w:spacing w:after="0"/>
              <w:jc w:val="center"/>
              <w:rPr>
                <w:lang w:val="cs" w:bidi="cs-CZ"/>
              </w:rPr>
            </w:pPr>
            <w:r w:rsidRPr="00C57B72">
              <w:rPr>
                <w:lang w:val="cs" w:bidi="cs-CZ"/>
              </w:rPr>
              <w:t>povolená barevná odchylka</w:t>
            </w:r>
          </w:p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r w:rsidRPr="00C57B72">
              <w:rPr>
                <w:lang w:val="cs" w:bidi="cs-CZ"/>
              </w:rPr>
              <w:t>stupeň 4 šedé stupnice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proofErr w:type="spellStart"/>
            <w:r w:rsidRPr="00C57B72">
              <w:rPr>
                <w:lang w:val="en-US" w:bidi="cs-CZ"/>
              </w:rPr>
              <w:t>Plošná</w:t>
            </w:r>
            <w:proofErr w:type="spellEnd"/>
            <w:r w:rsidRPr="00C57B72">
              <w:rPr>
                <w:lang w:val="en-US" w:bidi="cs-CZ"/>
              </w:rPr>
              <w:t xml:space="preserve"> </w:t>
            </w:r>
            <w:proofErr w:type="spellStart"/>
            <w:r w:rsidRPr="00C57B72">
              <w:rPr>
                <w:lang w:val="en-US" w:bidi="cs-CZ"/>
              </w:rPr>
              <w:t>hmotnost</w:t>
            </w:r>
            <w:proofErr w:type="spellEnd"/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>ČSN EN 12127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>160 g.m</w:t>
            </w:r>
            <w:r w:rsidRPr="00C57B72">
              <w:rPr>
                <w:vertAlign w:val="superscript"/>
                <w:lang w:val="en-US" w:bidi="cs-CZ"/>
              </w:rPr>
              <w:t>2</w:t>
            </w:r>
            <w:r w:rsidRPr="00C57B72">
              <w:rPr>
                <w:lang w:val="en-US" w:bidi="cs-CZ"/>
              </w:rPr>
              <w:t xml:space="preserve"> ± 5%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lastRenderedPageBreak/>
              <w:t xml:space="preserve">Změna rozměrů po 1 cyklu praní </w:t>
            </w:r>
          </w:p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a sušení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ČSN EN ISO 5077</w:t>
            </w:r>
          </w:p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ČSN EN ISO 6330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bidi="cs-CZ"/>
              </w:rPr>
            </w:pPr>
            <w:r w:rsidRPr="00C57B72">
              <w:rPr>
                <w:lang w:bidi="cs-CZ"/>
              </w:rPr>
              <w:t>max. ± 2%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Změna vzhledu po 1 cyklu praní</w:t>
            </w:r>
          </w:p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a sušení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ČSN EN ISO 15487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bidi="cs-CZ"/>
              </w:rPr>
            </w:pPr>
            <w:r w:rsidRPr="00C57B72">
              <w:rPr>
                <w:lang w:bidi="cs-CZ"/>
              </w:rPr>
              <w:t>min. 4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Stálobarevnost na světle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 xml:space="preserve">ČSN EN ISO </w:t>
            </w:r>
            <w:proofErr w:type="gramStart"/>
            <w:r w:rsidRPr="00C57B72">
              <w:rPr>
                <w:lang w:bidi="cs-CZ"/>
              </w:rPr>
              <w:t>105-B02</w:t>
            </w:r>
            <w:proofErr w:type="gramEnd"/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bidi="cs-CZ"/>
              </w:rPr>
            </w:pPr>
            <w:r w:rsidRPr="00C57B72">
              <w:rPr>
                <w:lang w:bidi="cs-CZ"/>
              </w:rPr>
              <w:t>min. 4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>Stálobarevnost v potu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lang w:bidi="cs-CZ"/>
              </w:rPr>
              <w:t xml:space="preserve">ČSN EN ISO </w:t>
            </w:r>
            <w:proofErr w:type="gramStart"/>
            <w:r w:rsidRPr="00C57B72">
              <w:rPr>
                <w:lang w:bidi="cs-CZ"/>
              </w:rPr>
              <w:t>105-E04</w:t>
            </w:r>
            <w:proofErr w:type="gramEnd"/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bidi="cs-CZ"/>
              </w:rPr>
            </w:pPr>
            <w:r w:rsidRPr="00C57B72">
              <w:rPr>
                <w:lang w:bidi="cs-CZ"/>
              </w:rPr>
              <w:t>min. 4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proofErr w:type="spellStart"/>
            <w:r w:rsidRPr="00C57B72">
              <w:rPr>
                <w:lang w:val="en-US" w:bidi="cs-CZ"/>
              </w:rPr>
              <w:t>Obsah</w:t>
            </w:r>
            <w:proofErr w:type="spellEnd"/>
            <w:r w:rsidRPr="00C57B72">
              <w:rPr>
                <w:lang w:val="en-US" w:bidi="cs-CZ"/>
              </w:rPr>
              <w:t xml:space="preserve"> </w:t>
            </w:r>
            <w:proofErr w:type="spellStart"/>
            <w:r w:rsidRPr="00C57B72">
              <w:rPr>
                <w:lang w:val="en-US" w:bidi="cs-CZ"/>
              </w:rPr>
              <w:t>volného</w:t>
            </w:r>
            <w:proofErr w:type="spellEnd"/>
            <w:r w:rsidRPr="00C57B72">
              <w:rPr>
                <w:lang w:val="en-US" w:bidi="cs-CZ"/>
              </w:rPr>
              <w:t xml:space="preserve"> </w:t>
            </w:r>
            <w:proofErr w:type="spellStart"/>
            <w:r w:rsidRPr="00C57B72">
              <w:rPr>
                <w:lang w:val="en-US" w:bidi="cs-CZ"/>
              </w:rPr>
              <w:t>formaldehydu</w:t>
            </w:r>
            <w:proofErr w:type="spellEnd"/>
            <w:r w:rsidRPr="00C57B72">
              <w:rPr>
                <w:lang w:val="en-US" w:bidi="cs-CZ"/>
              </w:rPr>
              <w:t xml:space="preserve"> 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>ČSN EN ISO 14184-1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proofErr w:type="gramStart"/>
            <w:r w:rsidRPr="00C57B72">
              <w:rPr>
                <w:lang w:val="en-US" w:bidi="cs-CZ"/>
              </w:rPr>
              <w:t>max</w:t>
            </w:r>
            <w:proofErr w:type="gramEnd"/>
            <w:r w:rsidRPr="00C57B72">
              <w:rPr>
                <w:lang w:val="en-US" w:bidi="cs-CZ"/>
              </w:rPr>
              <w:t>. 75 mg/kg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proofErr w:type="spellStart"/>
            <w:r w:rsidRPr="00C57B72">
              <w:rPr>
                <w:lang w:val="en-US" w:bidi="cs-CZ"/>
              </w:rPr>
              <w:t>Hodnota</w:t>
            </w:r>
            <w:proofErr w:type="spellEnd"/>
            <w:r w:rsidRPr="00C57B72">
              <w:rPr>
                <w:lang w:val="en-US" w:bidi="cs-CZ"/>
              </w:rPr>
              <w:t xml:space="preserve"> pH </w:t>
            </w:r>
            <w:proofErr w:type="spellStart"/>
            <w:r w:rsidRPr="00C57B72">
              <w:rPr>
                <w:lang w:val="en-US" w:bidi="cs-CZ"/>
              </w:rPr>
              <w:t>volného</w:t>
            </w:r>
            <w:proofErr w:type="spellEnd"/>
            <w:r w:rsidRPr="00C57B72">
              <w:rPr>
                <w:lang w:val="en-US" w:bidi="cs-CZ"/>
              </w:rPr>
              <w:t xml:space="preserve"> </w:t>
            </w:r>
            <w:proofErr w:type="spellStart"/>
            <w:r w:rsidRPr="00C57B72">
              <w:rPr>
                <w:lang w:val="en-US" w:bidi="cs-CZ"/>
              </w:rPr>
              <w:t>výluhu</w:t>
            </w:r>
            <w:proofErr w:type="spellEnd"/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>ČSN EN ISO 3071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jc w:val="center"/>
              <w:rPr>
                <w:lang w:val="en-US" w:bidi="cs-CZ"/>
              </w:rPr>
            </w:pPr>
            <w:r w:rsidRPr="00C57B72">
              <w:rPr>
                <w:lang w:val="en-US" w:bidi="cs-CZ"/>
              </w:rPr>
              <w:t>4,5 - 7,5</w:t>
            </w:r>
          </w:p>
        </w:tc>
      </w:tr>
      <w:tr w:rsidR="00C57B72" w:rsidRPr="00C57B72" w:rsidTr="00A478E3">
        <w:trPr>
          <w:trHeight w:val="603"/>
          <w:jc w:val="center"/>
        </w:trPr>
        <w:tc>
          <w:tcPr>
            <w:tcW w:w="1708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bCs/>
                <w:lang w:val="cs" w:bidi="cs-CZ"/>
              </w:rPr>
            </w:pPr>
            <w:r w:rsidRPr="00C57B72">
              <w:rPr>
                <w:bCs/>
                <w:lang w:val="cs" w:bidi="cs-CZ"/>
              </w:rPr>
              <w:t>Symboly údržby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val="cs" w:bidi="cs-CZ"/>
              </w:rPr>
            </w:pPr>
            <w:r w:rsidRPr="00C57B72">
              <w:rPr>
                <w:lang w:val="cs" w:bidi="cs-CZ"/>
              </w:rPr>
              <w:t>ČSN EN ISO 3758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C57B72" w:rsidRPr="00C57B72" w:rsidRDefault="00C57B72" w:rsidP="00C57B72">
            <w:pPr>
              <w:spacing w:after="0"/>
              <w:rPr>
                <w:lang w:bidi="cs-CZ"/>
              </w:rPr>
            </w:pPr>
            <w:r w:rsidRPr="00C57B72">
              <w:rPr>
                <w:noProof/>
                <w:lang w:eastAsia="cs-CZ"/>
              </w:rPr>
              <w:drawing>
                <wp:inline distT="0" distB="0" distL="0" distR="0" wp14:anchorId="1BD7105A" wp14:editId="249B1A8C">
                  <wp:extent cx="1609725" cy="301057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808" cy="327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B72" w:rsidRDefault="00C57B72" w:rsidP="00A82C06">
      <w:pPr>
        <w:spacing w:after="0"/>
        <w:rPr>
          <w:b/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4" w:name="bookmark5"/>
      <w:r w:rsidRPr="00245298">
        <w:rPr>
          <w:b/>
          <w:bCs/>
          <w:lang w:bidi="cs-CZ"/>
        </w:rPr>
        <w:t>ZNAČENÍ</w:t>
      </w:r>
      <w:bookmarkEnd w:id="4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7F5C26" w:rsidRDefault="00245298" w:rsidP="007F5C26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 xml:space="preserve">Značení je uvedeno na </w:t>
      </w:r>
      <w:r w:rsidRPr="00574C34">
        <w:rPr>
          <w:b/>
          <w:bCs/>
          <w:lang w:bidi="cs-CZ"/>
        </w:rPr>
        <w:t>textilní etiketě</w:t>
      </w:r>
      <w:r w:rsidRPr="00574C34">
        <w:rPr>
          <w:lang w:bidi="cs-CZ"/>
        </w:rPr>
        <w:t xml:space="preserve">, která </w:t>
      </w:r>
      <w:r w:rsidR="007F5C26">
        <w:rPr>
          <w:lang w:bidi="cs-CZ"/>
        </w:rPr>
        <w:t xml:space="preserve">je všitá do rubní strany čepice, na střed zadního dílu, </w:t>
      </w:r>
      <w:r w:rsidR="007F5C26">
        <w:rPr>
          <w:lang w:bidi="cs-CZ"/>
        </w:rPr>
        <w:br/>
        <w:t xml:space="preserve">s údaji: </w:t>
      </w:r>
    </w:p>
    <w:p w:rsidR="006E3F98" w:rsidRDefault="006E3F98" w:rsidP="007F5C2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název výrobku</w:t>
      </w:r>
    </w:p>
    <w:p w:rsidR="007F5C26" w:rsidRDefault="007F5C26" w:rsidP="007F5C2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výrobce</w:t>
      </w:r>
    </w:p>
    <w:p w:rsidR="007F5C26" w:rsidRDefault="007F5C26" w:rsidP="007F5C2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složení materiálu v plném znění</w:t>
      </w:r>
    </w:p>
    <w:p w:rsidR="007F5C26" w:rsidRDefault="007F5C26" w:rsidP="007F5C2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velikost</w:t>
      </w:r>
    </w:p>
    <w:p w:rsidR="007F5C26" w:rsidRDefault="007F5C26" w:rsidP="007F5C2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datum výroby</w:t>
      </w:r>
    </w:p>
    <w:p w:rsidR="007161C9" w:rsidRDefault="007F5C26" w:rsidP="007F5C2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symboly pro ošetřování dle ČSN EN ISO 3758:2012</w:t>
      </w:r>
    </w:p>
    <w:p w:rsidR="007F5C26" w:rsidRDefault="007F5C26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Etiketa je stálobarevná v údržbě.</w:t>
      </w:r>
    </w:p>
    <w:p w:rsidR="007F5C26" w:rsidRPr="00245298" w:rsidRDefault="007F5C26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7"/>
      <w:r w:rsidRPr="00245298">
        <w:rPr>
          <w:b/>
          <w:bCs/>
          <w:lang w:bidi="cs-CZ"/>
        </w:rPr>
        <w:t>POKYNY PRO SYSTÉM KONTROL, ZKOUŠENÍ A KONEČNOU KONTROLU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</w:t>
      </w:r>
      <w:r w:rsidR="006C547C">
        <w:rPr>
          <w:lang w:bidi="cs-CZ"/>
        </w:rPr>
        <w:t>Čepice</w:t>
      </w:r>
      <w:r w:rsidRPr="00245298">
        <w:rPr>
          <w:lang w:bidi="cs-CZ"/>
        </w:rPr>
        <w:t xml:space="preserve"> se </w:t>
      </w:r>
      <w:r w:rsidRPr="00245298">
        <w:rPr>
          <w:lang w:bidi="cs-CZ"/>
        </w:rPr>
        <w:lastRenderedPageBreak/>
        <w:t>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7F5C26" w:rsidRPr="00245298" w:rsidRDefault="007F5C26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8"/>
      <w:r w:rsidRPr="00245298">
        <w:rPr>
          <w:b/>
          <w:bCs/>
          <w:lang w:bidi="cs-CZ"/>
        </w:rPr>
        <w:t>POKYNY PRO ÚDRŽBU A OPRAVY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AB1219" w:rsidRDefault="00AB1219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9"/>
      <w:bookmarkStart w:id="8" w:name="_GoBack"/>
      <w:bookmarkEnd w:id="8"/>
      <w:r w:rsidRPr="00245298">
        <w:rPr>
          <w:b/>
          <w:bCs/>
          <w:lang w:bidi="cs-CZ"/>
        </w:rPr>
        <w:t>BALENÍ, SKLADOVÁNÍ, EKOLOGICKÁ LIKVIDACE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bookmarkStart w:id="9" w:name="bookmark10"/>
      <w:r w:rsidRPr="007161C9">
        <w:rPr>
          <w:lang w:bidi="cs-CZ"/>
        </w:rPr>
        <w:t>Výrobky se skládají jednotlivě do sáčku PE a společně se balí do krabice z pětivrstvé lepenky.</w:t>
      </w:r>
      <w:r>
        <w:rPr>
          <w:lang w:bidi="cs-CZ"/>
        </w:rPr>
        <w:t xml:space="preserve"> </w:t>
      </w:r>
      <w:r w:rsidRPr="007161C9">
        <w:rPr>
          <w:lang w:bidi="cs-CZ"/>
        </w:rPr>
        <w:t>Výrobky v krabici nesmí být namačkané, ani se nesmí volně pohybovat. Krabice s menším počtem</w:t>
      </w:r>
      <w:r>
        <w:rPr>
          <w:lang w:bidi="cs-CZ"/>
        </w:rPr>
        <w:t xml:space="preserve"> </w:t>
      </w:r>
      <w:r w:rsidRPr="007161C9">
        <w:rPr>
          <w:lang w:bidi="cs-CZ"/>
        </w:rPr>
        <w:t>kusů musí být řádně označena. Každá krabice je označena štítkem s údaji: počet kusů, název</w:t>
      </w:r>
      <w:r>
        <w:rPr>
          <w:lang w:bidi="cs-CZ"/>
        </w:rPr>
        <w:t xml:space="preserve"> </w:t>
      </w:r>
      <w:r w:rsidRPr="007161C9">
        <w:rPr>
          <w:lang w:bidi="cs-CZ"/>
        </w:rPr>
        <w:t>výrobku, hmotnost brutto a netto. Krabice musí být uzavřeny a přelepeny lepicí páskou.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92700C" w:rsidRDefault="00FF3247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Čepice</w:t>
      </w:r>
      <w:r w:rsidR="0092700C" w:rsidRPr="00245298">
        <w:rPr>
          <w:lang w:bidi="cs-CZ"/>
        </w:rPr>
        <w:t xml:space="preserve"> se skladují </w:t>
      </w:r>
      <w:r w:rsidR="007161C9">
        <w:rPr>
          <w:lang w:bidi="cs-CZ"/>
        </w:rPr>
        <w:t xml:space="preserve">v suchých, větraných prostorách </w:t>
      </w:r>
      <w:r w:rsidR="0092700C" w:rsidRPr="00245298">
        <w:rPr>
          <w:lang w:bidi="cs-CZ"/>
        </w:rPr>
        <w:t>a nesmějí být vystaveny přímým účinkům slunečního záření a sál</w:t>
      </w:r>
      <w:r w:rsidR="007161C9">
        <w:rPr>
          <w:lang w:bidi="cs-CZ"/>
        </w:rPr>
        <w:t xml:space="preserve">avému teplu. </w:t>
      </w:r>
      <w:r w:rsidR="0092700C" w:rsidRPr="00245298">
        <w:rPr>
          <w:lang w:bidi="cs-CZ"/>
        </w:rPr>
        <w:t>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245298" w:rsidRPr="00D92E70" w:rsidRDefault="00245298" w:rsidP="002D192E">
      <w:pPr>
        <w:numPr>
          <w:ilvl w:val="0"/>
          <w:numId w:val="1"/>
        </w:numPr>
        <w:rPr>
          <w:lang w:bidi="cs-CZ"/>
        </w:rPr>
      </w:pPr>
      <w:r w:rsidRPr="007161C9">
        <w:rPr>
          <w:b/>
          <w:bCs/>
          <w:lang w:bidi="cs-CZ"/>
        </w:rPr>
        <w:t>TECHNICKÝ NÁKRES</w:t>
      </w:r>
      <w:bookmarkEnd w:id="9"/>
    </w:p>
    <w:p w:rsidR="00D92E70" w:rsidRPr="008E3E3C" w:rsidRDefault="00D92E70" w:rsidP="00D92E70">
      <w:pPr>
        <w:rPr>
          <w:lang w:bidi="cs-CZ"/>
        </w:rPr>
      </w:pPr>
    </w:p>
    <w:p w:rsidR="00190637" w:rsidRDefault="00D92E70" w:rsidP="00190637">
      <w:pPr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62E9131">
            <wp:extent cx="4590415" cy="3609340"/>
            <wp:effectExtent l="0" t="0" r="63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360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E70" w:rsidRDefault="00D92E70" w:rsidP="008E3E3C">
      <w:pPr>
        <w:spacing w:after="0"/>
        <w:rPr>
          <w:sz w:val="18"/>
          <w:szCs w:val="18"/>
          <w:lang w:bidi="cs-CZ"/>
        </w:rPr>
      </w:pPr>
    </w:p>
    <w:p w:rsidR="00A82C06" w:rsidRDefault="00A82C06" w:rsidP="008E3E3C">
      <w:pPr>
        <w:spacing w:after="0"/>
        <w:rPr>
          <w:sz w:val="18"/>
          <w:szCs w:val="18"/>
          <w:lang w:bidi="cs-CZ"/>
        </w:rPr>
      </w:pPr>
      <w:r w:rsidRPr="00F97F5F">
        <w:rPr>
          <w:sz w:val="18"/>
          <w:szCs w:val="18"/>
          <w:lang w:bidi="cs-CZ"/>
        </w:rPr>
        <w:t>* Vyobrazené logo SŽDC je pouze ilustrační a slouží jako pomůcka pro jeho umístění na výrobku.</w:t>
      </w:r>
    </w:p>
    <w:p w:rsidR="008E3E3C" w:rsidRDefault="008E3E3C" w:rsidP="008E3E3C">
      <w:pPr>
        <w:spacing w:after="0"/>
        <w:rPr>
          <w:sz w:val="18"/>
          <w:szCs w:val="18"/>
          <w:lang w:bidi="cs-CZ"/>
        </w:rPr>
      </w:pPr>
      <w:r w:rsidRPr="00F41B6B">
        <w:rPr>
          <w:sz w:val="18"/>
          <w:szCs w:val="18"/>
          <w:lang w:bidi="cs-CZ"/>
        </w:rPr>
        <w:t>Vyšité logo</w:t>
      </w:r>
      <w:r w:rsidR="00D92E70">
        <w:rPr>
          <w:sz w:val="18"/>
          <w:szCs w:val="18"/>
          <w:lang w:bidi="cs-CZ"/>
        </w:rPr>
        <w:t xml:space="preserve"> pouze</w:t>
      </w:r>
      <w:r w:rsidRPr="00F41B6B">
        <w:rPr>
          <w:sz w:val="18"/>
          <w:szCs w:val="18"/>
          <w:lang w:bidi="cs-CZ"/>
        </w:rPr>
        <w:t xml:space="preserve"> v oranžové barvě </w:t>
      </w:r>
      <w:proofErr w:type="spellStart"/>
      <w:r w:rsidRPr="00F41B6B">
        <w:rPr>
          <w:sz w:val="18"/>
          <w:szCs w:val="18"/>
          <w:lang w:bidi="cs-CZ"/>
        </w:rPr>
        <w:t>Pantone</w:t>
      </w:r>
      <w:proofErr w:type="spellEnd"/>
      <w:r w:rsidRPr="00F41B6B">
        <w:rPr>
          <w:sz w:val="18"/>
          <w:szCs w:val="18"/>
          <w:lang w:bidi="cs-CZ"/>
        </w:rPr>
        <w:t xml:space="preserve"> 151C/ oranžová nit 1333 </w:t>
      </w:r>
      <w:proofErr w:type="spellStart"/>
      <w:r w:rsidRPr="00F41B6B">
        <w:rPr>
          <w:sz w:val="18"/>
          <w:szCs w:val="18"/>
          <w:lang w:bidi="cs-CZ"/>
        </w:rPr>
        <w:t>Marathon</w:t>
      </w:r>
      <w:proofErr w:type="spellEnd"/>
      <w:r>
        <w:rPr>
          <w:sz w:val="18"/>
          <w:szCs w:val="18"/>
          <w:lang w:bidi="cs-CZ"/>
        </w:rPr>
        <w:t>.</w:t>
      </w:r>
    </w:p>
    <w:p w:rsidR="008E3E3C" w:rsidRDefault="008E3E3C" w:rsidP="00245298">
      <w:pPr>
        <w:rPr>
          <w:sz w:val="18"/>
          <w:szCs w:val="18"/>
          <w:lang w:bidi="cs-CZ"/>
        </w:rPr>
        <w:sectPr w:rsidR="008E3E3C" w:rsidSect="008E3E3C">
          <w:headerReference w:type="default" r:id="rId12"/>
          <w:footerReference w:type="default" r:id="rId13"/>
          <w:pgSz w:w="11900" w:h="16840"/>
          <w:pgMar w:top="1418" w:right="1418" w:bottom="1418" w:left="1418" w:header="851" w:footer="0" w:gutter="0"/>
          <w:cols w:space="720"/>
          <w:noEndnote/>
          <w:docGrid w:linePitch="360"/>
        </w:sectPr>
      </w:pPr>
    </w:p>
    <w:p w:rsidR="00190637" w:rsidRPr="00993906" w:rsidRDefault="00190637" w:rsidP="00190637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</w:p>
    <w:p w:rsidR="00190637" w:rsidRDefault="00190637" w:rsidP="00190637">
      <w:pPr>
        <w:spacing w:after="0"/>
        <w:rPr>
          <w:b/>
          <w:bCs/>
          <w:lang w:bidi="cs-CZ"/>
        </w:rPr>
      </w:pPr>
    </w:p>
    <w:p w:rsidR="00190637" w:rsidRDefault="00190637" w:rsidP="00190637">
      <w:pPr>
        <w:spacing w:after="0"/>
        <w:rPr>
          <w:b/>
          <w:bCs/>
          <w:lang w:bidi="cs-CZ"/>
        </w:rPr>
      </w:pPr>
      <w:r>
        <w:rPr>
          <w:b/>
          <w:bCs/>
          <w:lang w:bidi="cs-CZ"/>
        </w:rPr>
        <w:t>Kalkulační velikost: 56</w:t>
      </w:r>
    </w:p>
    <w:p w:rsidR="00190637" w:rsidRDefault="00190637" w:rsidP="00245298">
      <w:pPr>
        <w:rPr>
          <w:lang w:bidi="cs-CZ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04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782"/>
      </w:tblGrid>
      <w:tr w:rsidR="00D92E70" w:rsidRPr="00D92E70" w:rsidTr="00D92E70">
        <w:trPr>
          <w:trHeight w:val="397"/>
        </w:trPr>
        <w:tc>
          <w:tcPr>
            <w:tcW w:w="3608" w:type="dxa"/>
            <w:gridSpan w:val="2"/>
            <w:noWrap/>
            <w:vAlign w:val="center"/>
            <w:hideMark/>
          </w:tcPr>
          <w:p w:rsidR="00D92E70" w:rsidRPr="00D92E70" w:rsidRDefault="00D92E70" w:rsidP="00D92E70">
            <w:pPr>
              <w:rPr>
                <w:b/>
                <w:sz w:val="20"/>
                <w:szCs w:val="20"/>
                <w:lang w:bidi="cs-CZ"/>
              </w:rPr>
            </w:pPr>
            <w:r w:rsidRPr="00D92E70">
              <w:rPr>
                <w:b/>
                <w:sz w:val="20"/>
                <w:szCs w:val="20"/>
                <w:lang w:bidi="cs-CZ"/>
              </w:rPr>
              <w:t>Velikost: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53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54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55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56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57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58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59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60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61</w:t>
            </w:r>
          </w:p>
        </w:tc>
        <w:tc>
          <w:tcPr>
            <w:tcW w:w="782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18"/>
                <w:szCs w:val="18"/>
                <w:lang w:bidi="cs-CZ"/>
              </w:rPr>
            </w:pPr>
            <w:r w:rsidRPr="00D92E70">
              <w:rPr>
                <w:sz w:val="18"/>
                <w:szCs w:val="18"/>
                <w:lang w:bidi="cs-CZ"/>
              </w:rPr>
              <w:t>Tol. +/-</w:t>
            </w:r>
          </w:p>
        </w:tc>
      </w:tr>
      <w:tr w:rsidR="00D92E70" w:rsidRPr="00D92E70" w:rsidTr="00D92E70">
        <w:trPr>
          <w:trHeight w:val="397"/>
        </w:trPr>
        <w:tc>
          <w:tcPr>
            <w:tcW w:w="567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A</w:t>
            </w:r>
          </w:p>
        </w:tc>
        <w:tc>
          <w:tcPr>
            <w:tcW w:w="3041" w:type="dxa"/>
            <w:noWrap/>
            <w:vAlign w:val="center"/>
            <w:hideMark/>
          </w:tcPr>
          <w:p w:rsidR="00D92E70" w:rsidRPr="00D92E70" w:rsidRDefault="00D92E70" w:rsidP="00D92E70">
            <w:pPr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obvod hlavy čepice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54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55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56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sz w:val="20"/>
                <w:szCs w:val="20"/>
                <w:lang w:bidi="cs-CZ"/>
              </w:rPr>
            </w:pPr>
            <w:r w:rsidRPr="00D92E70">
              <w:rPr>
                <w:b/>
                <w:sz w:val="20"/>
                <w:szCs w:val="20"/>
                <w:lang w:bidi="cs-CZ"/>
              </w:rPr>
              <w:t>57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58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59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60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61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62</w:t>
            </w:r>
          </w:p>
        </w:tc>
        <w:tc>
          <w:tcPr>
            <w:tcW w:w="782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18"/>
                <w:szCs w:val="18"/>
                <w:lang w:bidi="cs-CZ"/>
              </w:rPr>
            </w:pPr>
            <w:r w:rsidRPr="00D92E70">
              <w:rPr>
                <w:sz w:val="18"/>
                <w:szCs w:val="18"/>
                <w:lang w:bidi="cs-CZ"/>
              </w:rPr>
              <w:t>1</w:t>
            </w:r>
          </w:p>
        </w:tc>
      </w:tr>
      <w:tr w:rsidR="00D92E70" w:rsidRPr="00D92E70" w:rsidTr="00D92E70">
        <w:trPr>
          <w:trHeight w:val="397"/>
        </w:trPr>
        <w:tc>
          <w:tcPr>
            <w:tcW w:w="567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B</w:t>
            </w:r>
          </w:p>
        </w:tc>
        <w:tc>
          <w:tcPr>
            <w:tcW w:w="3041" w:type="dxa"/>
            <w:noWrap/>
            <w:vAlign w:val="center"/>
            <w:hideMark/>
          </w:tcPr>
          <w:p w:rsidR="00D92E70" w:rsidRPr="00D92E70" w:rsidRDefault="00D92E70" w:rsidP="00D92E70">
            <w:pPr>
              <w:rPr>
                <w:sz w:val="20"/>
                <w:szCs w:val="20"/>
                <w:lang w:bidi="cs-CZ"/>
              </w:rPr>
            </w:pPr>
            <w:r>
              <w:rPr>
                <w:sz w:val="20"/>
                <w:szCs w:val="20"/>
                <w:lang w:bidi="cs-CZ"/>
              </w:rPr>
              <w:t xml:space="preserve">délka </w:t>
            </w:r>
            <w:r w:rsidRPr="00D92E70">
              <w:rPr>
                <w:sz w:val="20"/>
                <w:szCs w:val="20"/>
                <w:lang w:bidi="cs-CZ"/>
              </w:rPr>
              <w:t xml:space="preserve">předního švu 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16,2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16,5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16,8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sz w:val="20"/>
                <w:szCs w:val="20"/>
                <w:lang w:bidi="cs-CZ"/>
              </w:rPr>
            </w:pPr>
            <w:r w:rsidRPr="00D92E70">
              <w:rPr>
                <w:b/>
                <w:sz w:val="20"/>
                <w:szCs w:val="20"/>
                <w:lang w:bidi="cs-CZ"/>
              </w:rPr>
              <w:t>17,3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17,6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18,2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18,5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18,8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19,1</w:t>
            </w:r>
          </w:p>
        </w:tc>
        <w:tc>
          <w:tcPr>
            <w:tcW w:w="782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18"/>
                <w:szCs w:val="18"/>
                <w:lang w:bidi="cs-CZ"/>
              </w:rPr>
            </w:pPr>
            <w:r w:rsidRPr="00D92E70">
              <w:rPr>
                <w:sz w:val="18"/>
                <w:szCs w:val="18"/>
                <w:lang w:bidi="cs-CZ"/>
              </w:rPr>
              <w:t>0,2</w:t>
            </w:r>
          </w:p>
        </w:tc>
      </w:tr>
      <w:tr w:rsidR="00D92E70" w:rsidRPr="00D92E70" w:rsidTr="00D92E70">
        <w:trPr>
          <w:trHeight w:val="397"/>
        </w:trPr>
        <w:tc>
          <w:tcPr>
            <w:tcW w:w="567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C</w:t>
            </w:r>
          </w:p>
        </w:tc>
        <w:tc>
          <w:tcPr>
            <w:tcW w:w="3041" w:type="dxa"/>
            <w:noWrap/>
            <w:vAlign w:val="center"/>
            <w:hideMark/>
          </w:tcPr>
          <w:p w:rsidR="00D92E70" w:rsidRPr="00D92E70" w:rsidRDefault="00D92E70" w:rsidP="00D92E70">
            <w:pPr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 xml:space="preserve">délka zadního švu 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15,9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16,2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16,5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sz w:val="20"/>
                <w:szCs w:val="20"/>
                <w:lang w:bidi="cs-CZ"/>
              </w:rPr>
            </w:pPr>
            <w:r w:rsidRPr="00D92E70">
              <w:rPr>
                <w:b/>
                <w:sz w:val="20"/>
                <w:szCs w:val="20"/>
                <w:lang w:bidi="cs-CZ"/>
              </w:rPr>
              <w:t>17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17,3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17,8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18,1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18,4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18,7</w:t>
            </w:r>
          </w:p>
        </w:tc>
        <w:tc>
          <w:tcPr>
            <w:tcW w:w="782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18"/>
                <w:szCs w:val="18"/>
                <w:lang w:bidi="cs-CZ"/>
              </w:rPr>
            </w:pPr>
            <w:r w:rsidRPr="00D92E70">
              <w:rPr>
                <w:sz w:val="18"/>
                <w:szCs w:val="18"/>
                <w:lang w:bidi="cs-CZ"/>
              </w:rPr>
              <w:t>0,2</w:t>
            </w:r>
          </w:p>
        </w:tc>
      </w:tr>
      <w:tr w:rsidR="00D92E70" w:rsidRPr="00D92E70" w:rsidTr="00D92E70">
        <w:trPr>
          <w:trHeight w:val="397"/>
        </w:trPr>
        <w:tc>
          <w:tcPr>
            <w:tcW w:w="567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D</w:t>
            </w:r>
          </w:p>
        </w:tc>
        <w:tc>
          <w:tcPr>
            <w:tcW w:w="3041" w:type="dxa"/>
            <w:noWrap/>
            <w:vAlign w:val="center"/>
            <w:hideMark/>
          </w:tcPr>
          <w:p w:rsidR="00D92E70" w:rsidRPr="00D92E70" w:rsidRDefault="00D92E70" w:rsidP="00D92E70">
            <w:pPr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šířka předních dílů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10,2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10,4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sz w:val="20"/>
                <w:szCs w:val="20"/>
                <w:lang w:bidi="cs-CZ"/>
              </w:rPr>
            </w:pPr>
            <w:r w:rsidRPr="00D92E70">
              <w:rPr>
                <w:b/>
                <w:sz w:val="20"/>
                <w:szCs w:val="20"/>
                <w:lang w:bidi="cs-CZ"/>
              </w:rPr>
              <w:t>10,6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10,8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11,2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11,4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11,6</w:t>
            </w:r>
          </w:p>
        </w:tc>
        <w:tc>
          <w:tcPr>
            <w:tcW w:w="782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18"/>
                <w:szCs w:val="18"/>
                <w:lang w:bidi="cs-CZ"/>
              </w:rPr>
            </w:pPr>
            <w:r w:rsidRPr="00D92E70">
              <w:rPr>
                <w:sz w:val="18"/>
                <w:szCs w:val="18"/>
                <w:lang w:bidi="cs-CZ"/>
              </w:rPr>
              <w:t>0,2</w:t>
            </w:r>
          </w:p>
        </w:tc>
      </w:tr>
      <w:tr w:rsidR="00D92E70" w:rsidRPr="00D92E70" w:rsidTr="00D92E70">
        <w:trPr>
          <w:trHeight w:val="397"/>
        </w:trPr>
        <w:tc>
          <w:tcPr>
            <w:tcW w:w="567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bCs/>
                <w:sz w:val="20"/>
                <w:szCs w:val="20"/>
                <w:lang w:bidi="cs-CZ"/>
              </w:rPr>
            </w:pPr>
            <w:r w:rsidRPr="00D92E70">
              <w:rPr>
                <w:b/>
                <w:bCs/>
                <w:sz w:val="20"/>
                <w:szCs w:val="20"/>
                <w:lang w:bidi="cs-CZ"/>
              </w:rPr>
              <w:t>E</w:t>
            </w:r>
          </w:p>
        </w:tc>
        <w:tc>
          <w:tcPr>
            <w:tcW w:w="3041" w:type="dxa"/>
            <w:noWrap/>
            <w:vAlign w:val="center"/>
            <w:hideMark/>
          </w:tcPr>
          <w:p w:rsidR="00D92E70" w:rsidRPr="00D92E70" w:rsidRDefault="00D92E70" w:rsidP="00D92E70">
            <w:pPr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šířka bočních a zadních dílů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9,1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9,3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9,5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b/>
                <w:sz w:val="20"/>
                <w:szCs w:val="20"/>
                <w:lang w:bidi="cs-CZ"/>
              </w:rPr>
            </w:pPr>
            <w:r w:rsidRPr="00D92E70">
              <w:rPr>
                <w:b/>
                <w:sz w:val="20"/>
                <w:szCs w:val="20"/>
                <w:lang w:bidi="cs-CZ"/>
              </w:rPr>
              <w:t>9,6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9,8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10,2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10,3</w:t>
            </w:r>
          </w:p>
        </w:tc>
        <w:tc>
          <w:tcPr>
            <w:tcW w:w="851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20"/>
                <w:szCs w:val="20"/>
                <w:lang w:bidi="cs-CZ"/>
              </w:rPr>
            </w:pPr>
            <w:r w:rsidRPr="00D92E70">
              <w:rPr>
                <w:sz w:val="20"/>
                <w:szCs w:val="20"/>
                <w:lang w:bidi="cs-CZ"/>
              </w:rPr>
              <w:t>10,4</w:t>
            </w:r>
          </w:p>
        </w:tc>
        <w:tc>
          <w:tcPr>
            <w:tcW w:w="782" w:type="dxa"/>
            <w:noWrap/>
            <w:vAlign w:val="center"/>
            <w:hideMark/>
          </w:tcPr>
          <w:p w:rsidR="00D92E70" w:rsidRPr="00D92E70" w:rsidRDefault="00D92E70" w:rsidP="00D92E70">
            <w:pPr>
              <w:jc w:val="center"/>
              <w:rPr>
                <w:sz w:val="18"/>
                <w:szCs w:val="18"/>
                <w:lang w:bidi="cs-CZ"/>
              </w:rPr>
            </w:pPr>
            <w:r w:rsidRPr="00D92E70">
              <w:rPr>
                <w:sz w:val="18"/>
                <w:szCs w:val="18"/>
                <w:lang w:bidi="cs-CZ"/>
              </w:rPr>
              <w:t>0,2</w:t>
            </w:r>
          </w:p>
        </w:tc>
      </w:tr>
    </w:tbl>
    <w:p w:rsidR="00190637" w:rsidRPr="00190637" w:rsidRDefault="00190637" w:rsidP="00190637">
      <w:pPr>
        <w:spacing w:after="0"/>
        <w:rPr>
          <w:sz w:val="18"/>
          <w:szCs w:val="18"/>
          <w:lang w:bidi="cs-CZ"/>
        </w:rPr>
      </w:pPr>
      <w:r w:rsidRPr="00190637">
        <w:rPr>
          <w:sz w:val="18"/>
          <w:szCs w:val="18"/>
          <w:lang w:bidi="cs-CZ"/>
        </w:rPr>
        <w:t>Všechny rozměry jsou uvedené v cm; metodika měření dle ČSN 80 7040;</w:t>
      </w:r>
    </w:p>
    <w:p w:rsidR="00190637" w:rsidRPr="00190637" w:rsidRDefault="00190637" w:rsidP="00190637">
      <w:pPr>
        <w:spacing w:after="0"/>
        <w:rPr>
          <w:sz w:val="18"/>
          <w:szCs w:val="18"/>
          <w:lang w:bidi="cs-CZ"/>
        </w:rPr>
      </w:pPr>
    </w:p>
    <w:sectPr w:rsidR="00190637" w:rsidRPr="00190637" w:rsidSect="008E3E3C">
      <w:pgSz w:w="16840" w:h="11900" w:orient="landscape"/>
      <w:pgMar w:top="1418" w:right="1418" w:bottom="1418" w:left="1418" w:header="851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ED" w:rsidRDefault="00CD6EED" w:rsidP="00245298">
      <w:pPr>
        <w:spacing w:after="0" w:line="240" w:lineRule="auto"/>
      </w:pPr>
      <w:r>
        <w:separator/>
      </w:r>
    </w:p>
  </w:endnote>
  <w:endnote w:type="continuationSeparator" w:id="0">
    <w:p w:rsidR="00CD6EED" w:rsidRDefault="00CD6EED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F9" w:rsidRDefault="00507FF9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ED" w:rsidRDefault="00CD6EED" w:rsidP="00245298">
      <w:pPr>
        <w:spacing w:after="0" w:line="240" w:lineRule="auto"/>
      </w:pPr>
      <w:r>
        <w:separator/>
      </w:r>
    </w:p>
  </w:footnote>
  <w:footnote w:type="continuationSeparator" w:id="0">
    <w:p w:rsidR="00CD6EED" w:rsidRDefault="00CD6EED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1C9" w:rsidRPr="007161C9" w:rsidRDefault="007161C9" w:rsidP="007161C9">
    <w:pPr>
      <w:pStyle w:val="Zhlav"/>
      <w:jc w:val="center"/>
      <w:rPr>
        <w:b/>
      </w:rPr>
    </w:pPr>
    <w:r w:rsidRPr="007161C9">
      <w:rPr>
        <w:b/>
      </w:rPr>
      <w:t xml:space="preserve">TECHNICKÁ SPECIFIKACE </w:t>
    </w:r>
    <w:r w:rsidR="00347B4C">
      <w:rPr>
        <w:b/>
      </w:rPr>
      <w:t>–</w:t>
    </w:r>
    <w:r w:rsidRPr="007161C9">
      <w:rPr>
        <w:b/>
      </w:rPr>
      <w:t xml:space="preserve"> </w:t>
    </w:r>
    <w:r w:rsidR="008E3E3C">
      <w:rPr>
        <w:b/>
      </w:rPr>
      <w:t xml:space="preserve">ČEPICE STEJNOKROJOVÁ </w:t>
    </w:r>
    <w:r w:rsidR="00514A6B">
      <w:rPr>
        <w:b/>
      </w:rPr>
      <w:t>ZIMNÍ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12C4"/>
    <w:multiLevelType w:val="hybridMultilevel"/>
    <w:tmpl w:val="3094F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C4D47"/>
    <w:multiLevelType w:val="hybridMultilevel"/>
    <w:tmpl w:val="C9065FD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435B7"/>
    <w:multiLevelType w:val="hybridMultilevel"/>
    <w:tmpl w:val="C5A4E0AE"/>
    <w:lvl w:ilvl="0" w:tplc="D5407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407D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F746DB"/>
    <w:multiLevelType w:val="hybridMultilevel"/>
    <w:tmpl w:val="DF380420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16"/>
  </w:num>
  <w:num w:numId="9">
    <w:abstractNumId w:val="12"/>
  </w:num>
  <w:num w:numId="10">
    <w:abstractNumId w:val="20"/>
  </w:num>
  <w:num w:numId="11">
    <w:abstractNumId w:val="11"/>
  </w:num>
  <w:num w:numId="12">
    <w:abstractNumId w:val="3"/>
  </w:num>
  <w:num w:numId="13">
    <w:abstractNumId w:val="15"/>
  </w:num>
  <w:num w:numId="14">
    <w:abstractNumId w:val="18"/>
  </w:num>
  <w:num w:numId="15">
    <w:abstractNumId w:val="14"/>
  </w:num>
  <w:num w:numId="16">
    <w:abstractNumId w:val="19"/>
  </w:num>
  <w:num w:numId="17">
    <w:abstractNumId w:val="1"/>
  </w:num>
  <w:num w:numId="18">
    <w:abstractNumId w:val="17"/>
  </w:num>
  <w:num w:numId="19">
    <w:abstractNumId w:val="5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43FF4"/>
    <w:rsid w:val="00052968"/>
    <w:rsid w:val="00056C00"/>
    <w:rsid w:val="000908E0"/>
    <w:rsid w:val="00141591"/>
    <w:rsid w:val="00190637"/>
    <w:rsid w:val="001917E0"/>
    <w:rsid w:val="001F3051"/>
    <w:rsid w:val="002125AB"/>
    <w:rsid w:val="00245298"/>
    <w:rsid w:val="002F2C3E"/>
    <w:rsid w:val="00336897"/>
    <w:rsid w:val="003452FF"/>
    <w:rsid w:val="00347B4C"/>
    <w:rsid w:val="00463422"/>
    <w:rsid w:val="00490122"/>
    <w:rsid w:val="00507FF9"/>
    <w:rsid w:val="00510C69"/>
    <w:rsid w:val="00514A6B"/>
    <w:rsid w:val="00515D69"/>
    <w:rsid w:val="0054799D"/>
    <w:rsid w:val="00574C34"/>
    <w:rsid w:val="0064081E"/>
    <w:rsid w:val="006B5424"/>
    <w:rsid w:val="006C044A"/>
    <w:rsid w:val="006C547C"/>
    <w:rsid w:val="006E3F98"/>
    <w:rsid w:val="006F5480"/>
    <w:rsid w:val="007161C9"/>
    <w:rsid w:val="007A150B"/>
    <w:rsid w:val="007F5C26"/>
    <w:rsid w:val="00804701"/>
    <w:rsid w:val="00831396"/>
    <w:rsid w:val="00871A9C"/>
    <w:rsid w:val="00886030"/>
    <w:rsid w:val="008861BC"/>
    <w:rsid w:val="008A14B9"/>
    <w:rsid w:val="008C1FE2"/>
    <w:rsid w:val="008C2C34"/>
    <w:rsid w:val="008E3E3C"/>
    <w:rsid w:val="0092700C"/>
    <w:rsid w:val="00937ED8"/>
    <w:rsid w:val="00962787"/>
    <w:rsid w:val="00993906"/>
    <w:rsid w:val="009E2010"/>
    <w:rsid w:val="00A478E3"/>
    <w:rsid w:val="00A7223F"/>
    <w:rsid w:val="00A82C06"/>
    <w:rsid w:val="00A84695"/>
    <w:rsid w:val="00AB1219"/>
    <w:rsid w:val="00AC6A5F"/>
    <w:rsid w:val="00AE3EE9"/>
    <w:rsid w:val="00B056FA"/>
    <w:rsid w:val="00C12B0D"/>
    <w:rsid w:val="00C30F8C"/>
    <w:rsid w:val="00C42385"/>
    <w:rsid w:val="00C57B72"/>
    <w:rsid w:val="00CD6EED"/>
    <w:rsid w:val="00D878A4"/>
    <w:rsid w:val="00D92E70"/>
    <w:rsid w:val="00DB38F0"/>
    <w:rsid w:val="00DC2C95"/>
    <w:rsid w:val="00DD464F"/>
    <w:rsid w:val="00DE783E"/>
    <w:rsid w:val="00E06A51"/>
    <w:rsid w:val="00E54134"/>
    <w:rsid w:val="00E77AFD"/>
    <w:rsid w:val="00F90305"/>
    <w:rsid w:val="00F97F5F"/>
    <w:rsid w:val="00FC1055"/>
    <w:rsid w:val="00FD5070"/>
    <w:rsid w:val="00FF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BFC38-D410-4970-B0B9-3EDE44F2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5</Pages>
  <Words>901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2019-07-23T12:03:00Z</dcterms:modified>
</cp:coreProperties>
</file>